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center"/>
        <w:rPr>
          <w:b/>
          <w:bCs/>
        </w:rPr>
      </w:pPr>
      <w:r>
        <w:rPr>
          <w:b/>
          <w:bCs/>
          <w:color w:val="000000"/>
        </w:rPr>
        <w:t>Информация о внесении инициативного проекта</w:t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center"/>
        <w:rPr>
          <w:b/>
          <w:bCs/>
        </w:rPr>
      </w:pPr>
      <w:r>
        <w:rPr>
          <w:b/>
          <w:bCs/>
          <w:color w:val="000000"/>
        </w:rPr>
        <w:t>«Солнечному кварталу — чистоту и порядок»</w:t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center"/>
        <w:rPr>
          <w:b/>
          <w:bCs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в Администрацию городского округа муниципальное образование городской округ город Луганск Луганской Народной Республики </w:t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both"/>
        <w:rPr>
          <w:color w:val="000000"/>
        </w:rPr>
      </w:pPr>
      <w:r>
        <w:rPr>
          <w:color w:val="000000"/>
        </w:rPr>
        <w:t>Администрация городского округа муниципальное образование городской округ город Луганск Луганской Народной Республики (далее – Администрация) информирует о том, что инициативной группой (руководитель инициативной группы – Нонкина Елена Борисовна</w:t>
      </w:r>
      <w:r>
        <w:rPr>
          <w:color w:val="000000"/>
          <w:szCs w:val="28"/>
        </w:rPr>
        <w:t xml:space="preserve">) </w:t>
      </w:r>
      <w:r>
        <w:rPr>
          <w:color w:val="000000"/>
        </w:rPr>
        <w:t xml:space="preserve">в соответствии со </w:t>
      </w:r>
      <w:r>
        <w:rPr/>
        <w:t xml:space="preserve">статьей 49 Федерального закона от 20 марта 2025 г. № 33-ФЗ «Об общих принципах организации местного самоуправления в единой системе публичной власти», Законом Луганской Народной Республики от 18 апреля 2025 г. № 155-I «Об инициативных проектах в Луганской Народной Республики», </w:t>
      </w:r>
      <w:r>
        <w:rPr>
          <w:color w:val="000000"/>
        </w:rPr>
        <w:t xml:space="preserve">Положением о порядке выдвижения, внесения, обсуждения, рассмотрения инициативных проектов, а также проведения их конкурсного отбора, утвержденным решением Совета городского округа муниципальное образование городской округ город Луганск Луганской Народной Республики от 4 сентября 2025 г. № 1-41/1  в Администрацию 08.09.2025 внесен инициативный проект </w:t>
      </w:r>
      <w:r>
        <w:rPr>
          <w:color w:val="000000"/>
          <w:szCs w:val="28"/>
        </w:rPr>
        <w:t>«Солнечному кварталу — чистоту и порядок»</w:t>
      </w:r>
      <w:r>
        <w:rPr>
          <w:color w:val="000000"/>
        </w:rPr>
        <w:t xml:space="preserve"> (далее – инициативный проект). </w:t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both"/>
        <w:rPr/>
      </w:pPr>
      <w:r>
        <w:rPr>
          <w:color w:val="000000"/>
          <w:szCs w:val="28"/>
        </w:rPr>
        <w:t xml:space="preserve">Инициативный проект внесен </w:t>
      </w:r>
      <w:r>
        <w:rPr/>
        <w:t>для участия в конкурсном отборе инициативных проектов на территории муниципального образования городской округ город Луганск Луганской Народной Республики в целях получения финансовой поддержки за счет субсидий из бюджета Луганской Народной Республики местным бюджетам на реализацию инициативных проектов развития (создания) общественной инфраструктуры муниципальных образований Луганской Народной Республики на 2025 год.</w:t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both"/>
        <w:rPr/>
      </w:pPr>
      <w:r>
        <w:rPr>
          <w:color w:val="000000"/>
        </w:rPr>
        <w:t xml:space="preserve">Инициативный проект «Солнечному кварталу — чистоту и порядок» до его внесения в Администрацию был обсужден и рассмотрен на собрании жителей </w:t>
      </w:r>
      <w:r>
        <w:rPr>
          <w:szCs w:val="28"/>
        </w:rPr>
        <w:t>муниципального образования городской округ город Луганск Луганской Народной Республики (жителей квартала Дружба города Луганска).</w:t>
      </w:r>
      <w:r>
        <w:rPr>
          <w:color w:val="000000"/>
        </w:rPr>
        <w:t xml:space="preserve"> </w:t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both"/>
        <w:rPr>
          <w:bCs/>
          <w:color w:val="000000"/>
          <w:szCs w:val="28"/>
          <w:highlight w:val="yellow"/>
        </w:rPr>
      </w:pPr>
      <w:r>
        <w:rPr>
          <w:bCs/>
          <w:color w:val="000000"/>
          <w:szCs w:val="28"/>
          <w:highlight w:val="yellow"/>
        </w:rPr>
      </w:r>
    </w:p>
    <w:p>
      <w:pPr>
        <w:pStyle w:val="211"/>
        <w:tabs>
          <w:tab w:val="clear" w:pos="708"/>
          <w:tab w:val="left" w:pos="1276" w:leader="none"/>
        </w:tabs>
        <w:spacing w:before="0" w:after="0"/>
        <w:ind w:firstLine="709" w:right="-19"/>
        <w:jc w:val="both"/>
        <w:rPr>
          <w:rStyle w:val="21"/>
          <w:b w:val="false"/>
          <w:bCs w:val="false"/>
          <w:sz w:val="28"/>
          <w:szCs w:val="28"/>
          <w:lang w:eastAsia="ru-RU"/>
        </w:rPr>
      </w:pPr>
      <w:bookmarkStart w:id="0" w:name="bookmark1"/>
      <w:r>
        <w:rPr>
          <w:rStyle w:val="21"/>
          <w:b/>
          <w:bCs w:val="false"/>
          <w:sz w:val="28"/>
          <w:szCs w:val="28"/>
          <w:lang w:eastAsia="ru-RU"/>
        </w:rPr>
        <w:t>Описание проблемы, решение которой имеет приоритетное значение для жителей городского округа:</w:t>
      </w:r>
      <w:bookmarkEnd w:id="0"/>
    </w:p>
    <w:p>
      <w:pPr>
        <w:pStyle w:val="BodyTextIndent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 xml:space="preserve">Площадки для накопления твёрдых коммунальных отходов (ТКО) являются неотъемлемой частью городской инфраструктуры. Их благоустройство играет важную роль в обеспечении экологической безопасности и комфорта жителей муниципалитетов. </w:t>
      </w:r>
    </w:p>
    <w:p>
      <w:pPr>
        <w:pStyle w:val="BodyTextIndent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 xml:space="preserve">В настоящее время на территории г. Луганска существует острая потребность в обустройстве контейнерных площадок для сбора ТКО. </w:t>
      </w:r>
    </w:p>
    <w:p>
      <w:pPr>
        <w:pStyle w:val="BodyTextIndent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 xml:space="preserve">Одна из таких площадок расположена по адресу: кв. Солнечный, 7                        г.о. город Луганск, г. Луганск Луганской Народной Республики. </w:t>
      </w:r>
    </w:p>
    <w:p>
      <w:pPr>
        <w:pStyle w:val="611"/>
        <w:spacing w:before="0" w:after="0"/>
        <w:ind w:firstLine="709" w:right="-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Её текущее состояние (контейнеры переполнены, мусор разбросан вокруг и разносится ветром, некоторые контейнеры повреждены), вызывает недовольство среди местных жителей, серьёзные опасения, связанные с ухудшением санитарно-гигиенической обстановки. В связи с этим, имеется необходимость проведение работ по обустройству контейнерной площадки в соответствии с установленными законодательством требованиями.</w:t>
      </w:r>
    </w:p>
    <w:p>
      <w:pPr>
        <w:pStyle w:val="611"/>
        <w:spacing w:before="0" w:after="0"/>
        <w:ind w:firstLine="709" w:right="-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211"/>
        <w:spacing w:before="0" w:after="0"/>
        <w:ind w:firstLine="709" w:right="-19"/>
        <w:rPr>
          <w:rStyle w:val="21"/>
          <w:b w:val="false"/>
          <w:bCs w:val="false"/>
          <w:sz w:val="28"/>
          <w:szCs w:val="28"/>
          <w:lang w:eastAsia="ru-RU"/>
        </w:rPr>
      </w:pPr>
      <w:bookmarkStart w:id="1" w:name="bookmark2"/>
      <w:r>
        <w:rPr>
          <w:rStyle w:val="21"/>
          <w:b/>
          <w:bCs w:val="false"/>
          <w:sz w:val="28"/>
          <w:szCs w:val="28"/>
          <w:lang w:eastAsia="ru-RU"/>
        </w:rPr>
        <w:t>Обоснование предложений по решению указанной проблемы:</w:t>
      </w:r>
      <w:bookmarkEnd w:id="1"/>
    </w:p>
    <w:p>
      <w:pPr>
        <w:pStyle w:val="Normal"/>
        <w:ind w:firstLine="709"/>
        <w:jc w:val="both"/>
        <w:textAlignment w:val="baseline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Реализация инициативного проекта на территории муниципального образования городской округ город Луганск предусматривает реализацию комплекса мероприятий по благоустройству площадки для сбора ТКО по адресу:</w:t>
      </w:r>
      <w:r>
        <w:rPr>
          <w:rFonts w:cs="Times New Roman"/>
          <w:szCs w:val="28"/>
        </w:rPr>
        <w:t xml:space="preserve"> квартал Солнечный в районе дома № 7 с целью обеспечения </w:t>
      </w:r>
      <w:r>
        <w:rPr>
          <w:rFonts w:cs="Times New Roman"/>
          <w:bCs/>
          <w:szCs w:val="28"/>
        </w:rPr>
        <w:t>всех требований экологической безопасности.</w:t>
      </w:r>
    </w:p>
    <w:p>
      <w:pPr>
        <w:pStyle w:val="Normal"/>
        <w:jc w:val="both"/>
        <w:textAlignment w:val="baseline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     </w:t>
      </w:r>
      <w:r>
        <w:rPr>
          <w:rFonts w:cs="Times New Roman"/>
          <w:bCs/>
          <w:szCs w:val="28"/>
        </w:rPr>
        <w:t>Обоснованием для обустройства контейнерной площадки являются:</w:t>
      </w:r>
    </w:p>
    <w:p>
      <w:pPr>
        <w:pStyle w:val="Normal"/>
        <w:jc w:val="both"/>
        <w:textAlignment w:val="baseline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>создание комфортных условий проживания;</w:t>
      </w:r>
    </w:p>
    <w:p>
      <w:pPr>
        <w:pStyle w:val="Normal"/>
        <w:jc w:val="both"/>
        <w:textAlignment w:val="baseline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 xml:space="preserve">профилактика распространения специфического запаха; </w:t>
      </w:r>
    </w:p>
    <w:p>
      <w:pPr>
        <w:pStyle w:val="Normal"/>
        <w:ind w:firstLine="709"/>
        <w:jc w:val="both"/>
        <w:textAlignment w:val="baseline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улучшение санитарно-экологической обстановки; (Контейнерные площадки обеспечивают санкционированное место сбора твёрдых коммунальных отходов (ТКО), что помогает сократить места несанкционированного размещения ТКО);</w:t>
      </w:r>
    </w:p>
    <w:p>
      <w:pPr>
        <w:pStyle w:val="Normal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вовлечение жителей в поддержание чистоты. Контейнерные площадки могут стать местом, где чистоту во дворе будут поддерживать не только контролирующие организации, но и сами жильцы. </w:t>
      </w:r>
    </w:p>
    <w:p>
      <w:pPr>
        <w:pStyle w:val="Normal"/>
        <w:ind w:firstLine="709"/>
        <w:jc w:val="both"/>
        <w:textAlignment w:val="baseline"/>
        <w:rPr>
          <w:rFonts w:cs="Times New Roman"/>
          <w:bCs/>
          <w:szCs w:val="28"/>
        </w:rPr>
      </w:pPr>
      <w:bookmarkStart w:id="2" w:name="bookmark3"/>
      <w:r>
        <w:rPr>
          <w:rFonts w:cs="Times New Roman"/>
          <w:bCs/>
          <w:szCs w:val="28"/>
        </w:rPr>
        <w:t>Значимость данного проекта обуславливается его социальной ценностью ввиду потребности в чистом доброкачественном воздухе, безопасном для здоровья граждан и санитарно-эпидемиологического благополучии населения.</w:t>
      </w:r>
    </w:p>
    <w:p>
      <w:pPr>
        <w:pStyle w:val="Normal"/>
        <w:ind w:firstLine="709"/>
        <w:jc w:val="both"/>
        <w:textAlignment w:val="baseline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</w:r>
    </w:p>
    <w:p>
      <w:pPr>
        <w:pStyle w:val="611"/>
        <w:spacing w:before="0" w:after="0"/>
        <w:ind w:firstLine="567" w:right="-19"/>
        <w:rPr>
          <w:rStyle w:val="21"/>
          <w:b w:val="false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t>Описание ожидаемого результата (ожидаемых результатов) реализации инициативного проекта</w:t>
      </w:r>
      <w:r>
        <w:rPr>
          <w:rStyle w:val="21"/>
          <w:b w:val="false"/>
          <w:sz w:val="28"/>
          <w:szCs w:val="28"/>
          <w:lang w:eastAsia="ru-RU"/>
        </w:rPr>
        <w:t>:</w:t>
      </w:r>
      <w:bookmarkEnd w:id="2"/>
    </w:p>
    <w:p>
      <w:pPr>
        <w:pStyle w:val="Normal"/>
        <w:ind w:firstLine="709"/>
        <w:jc w:val="both"/>
        <w:textAlignment w:val="baseline"/>
        <w:rPr>
          <w:rFonts w:cs="Times New Roman"/>
          <w:bCs/>
        </w:rPr>
      </w:pPr>
      <w:r>
        <w:rPr>
          <w:rFonts w:cs="Times New Roman"/>
          <w:bCs/>
        </w:rPr>
        <w:t xml:space="preserve">Реализация проекта по благоустройству площадки для сбора ТКО позволит значительно улучшить санитарное состояние муниципального образования, сократить количество несанкционированных свалок и повысить качество жизни местных жителей. </w:t>
      </w:r>
    </w:p>
    <w:p>
      <w:pPr>
        <w:pStyle w:val="Normal"/>
        <w:ind w:firstLine="709"/>
        <w:jc w:val="both"/>
        <w:textAlignment w:val="baseline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ind w:firstLine="709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Предварительный расчет необходимых расходов на реализацию инициативного проекта:</w:t>
      </w:r>
    </w:p>
    <w:p>
      <w:pPr>
        <w:pStyle w:val="Normal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Предварительная стоимость инициативного проекта «Солнечному кварталу – чистоту и порядок» составляет 306 042,76 руб. (триста шесть тысяч сорок два рубля 76 коп.) </w:t>
      </w:r>
    </w:p>
    <w:p>
      <w:pPr>
        <w:pStyle w:val="Normal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ind w:firstLine="709"/>
        <w:jc w:val="both"/>
        <w:rPr>
          <w:rFonts w:cs="Times New Roman"/>
          <w:i/>
          <w:i/>
          <w:iCs/>
          <w:szCs w:val="28"/>
        </w:rPr>
      </w:pPr>
      <w:r>
        <w:rPr>
          <w:rFonts w:cs="Times New Roman"/>
          <w:b/>
          <w:bCs/>
          <w:szCs w:val="28"/>
        </w:rPr>
        <w:t>Планируемые сроки реализации инициативного проекта:</w:t>
      </w:r>
      <w:r>
        <w:rPr>
          <w:rStyle w:val="81"/>
          <w:b/>
          <w:bCs/>
          <w:sz w:val="28"/>
          <w:szCs w:val="28"/>
          <w:lang w:eastAsia="ru-RU"/>
        </w:rPr>
        <w:t xml:space="preserve"> </w:t>
      </w:r>
      <w:r>
        <w:rPr>
          <w:rStyle w:val="81"/>
          <w:bCs/>
          <w:i w:val="false"/>
          <w:sz w:val="28"/>
          <w:szCs w:val="28"/>
          <w:lang w:eastAsia="ru-RU"/>
        </w:rPr>
        <w:t>октябрь</w:t>
      </w:r>
      <w:r>
        <w:rPr>
          <w:rStyle w:val="81"/>
          <w:i w:val="false"/>
          <w:sz w:val="28"/>
          <w:szCs w:val="28"/>
          <w:lang w:eastAsia="ru-RU"/>
        </w:rPr>
        <w:t>-декабрь 2025 года.</w:t>
      </w:r>
    </w:p>
    <w:p>
      <w:pPr>
        <w:pStyle w:val="Normal"/>
        <w:ind w:firstLine="709"/>
        <w:jc w:val="both"/>
        <w:rPr>
          <w:rFonts w:cs="Times New Roman"/>
          <w:i/>
          <w:i/>
          <w:iCs/>
          <w:szCs w:val="28"/>
        </w:rPr>
      </w:pPr>
      <w:r>
        <w:rPr>
          <w:rFonts w:cs="Times New Roman"/>
          <w:i/>
          <w:iCs/>
          <w:szCs w:val="28"/>
        </w:rPr>
      </w:r>
    </w:p>
    <w:p>
      <w:pPr>
        <w:pStyle w:val="211"/>
        <w:spacing w:before="0" w:after="0"/>
        <w:ind w:firstLine="709" w:right="-19"/>
        <w:rPr>
          <w:sz w:val="28"/>
          <w:szCs w:val="28"/>
        </w:rPr>
      </w:pPr>
      <w:bookmarkStart w:id="3" w:name="bookmark9_Копия_1"/>
      <w:r>
        <w:rPr>
          <w:rStyle w:val="21"/>
          <w:b/>
          <w:bCs w:val="false"/>
          <w:sz w:val="28"/>
          <w:szCs w:val="28"/>
          <w:lang w:eastAsia="ru-RU"/>
        </w:rPr>
        <w:t>Сведения о планируемом (возможном) финансовом, имущественном и (или) трудовом участии заинтересованных лиц в реализации проекта:</w:t>
      </w:r>
      <w:bookmarkEnd w:id="3"/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both"/>
        <w:rPr/>
      </w:pPr>
      <w:r>
        <w:rPr>
          <w:rStyle w:val="91"/>
          <w:rFonts w:eastAsia="Times New Roman"/>
          <w:i w:val="false"/>
          <w:iCs w:val="false"/>
          <w:sz w:val="28"/>
          <w:szCs w:val="28"/>
          <w:lang w:eastAsia="uk-UA"/>
        </w:rPr>
        <w:t>Сумма вклада населения на реализацию инициативного проекта в размере 3 060, 42 руб. (три тысячи шестьдесят рублей 42 коп.)</w:t>
      </w:r>
    </w:p>
    <w:p>
      <w:pPr>
        <w:pStyle w:val="911"/>
        <w:spacing w:before="0" w:after="0"/>
        <w:ind w:firstLine="709" w:right="-19"/>
        <w:jc w:val="both"/>
        <w:rPr>
          <w:rStyle w:val="91"/>
          <w:i w:val="false"/>
          <w:i w:val="false"/>
          <w:iCs w:val="false"/>
          <w:sz w:val="28"/>
          <w:szCs w:val="28"/>
          <w:lang w:eastAsia="ru-RU"/>
        </w:rPr>
      </w:pPr>
      <w:r>
        <w:rPr>
          <w:i w:val="false"/>
          <w:iCs w:val="false"/>
          <w:sz w:val="28"/>
          <w:szCs w:val="28"/>
          <w:lang w:eastAsia="ru-RU"/>
        </w:rPr>
      </w:r>
    </w:p>
    <w:p>
      <w:pPr>
        <w:pStyle w:val="911"/>
        <w:spacing w:before="0" w:after="0"/>
        <w:ind w:firstLine="709" w:right="-19"/>
        <w:jc w:val="both"/>
        <w:rPr>
          <w:rStyle w:val="91"/>
          <w:i w:val="false"/>
          <w:i w:val="false"/>
          <w:iCs w:val="false"/>
          <w:sz w:val="28"/>
          <w:szCs w:val="28"/>
          <w:lang w:eastAsia="ru-RU"/>
        </w:rPr>
      </w:pPr>
      <w:r>
        <w:rPr>
          <w:rStyle w:val="91"/>
          <w:b/>
          <w:bCs/>
          <w:i w:val="false"/>
          <w:iCs w:val="false"/>
          <w:sz w:val="28"/>
          <w:szCs w:val="28"/>
          <w:lang w:eastAsia="ru-RU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</w:t>
      </w:r>
    </w:p>
    <w:p>
      <w:pPr>
        <w:pStyle w:val="911"/>
        <w:spacing w:before="0" w:after="0"/>
        <w:ind w:firstLine="709" w:right="-19"/>
        <w:jc w:val="both"/>
        <w:rPr/>
      </w:pPr>
      <w:r>
        <w:rPr>
          <w:rStyle w:val="91"/>
          <w:i w:val="false"/>
          <w:iCs w:val="false"/>
          <w:sz w:val="28"/>
          <w:szCs w:val="28"/>
          <w:lang w:eastAsia="ru-RU"/>
        </w:rPr>
        <w:t>Объем средств местного бюджета 30 604,28 руб. (тридцать тысяч шестьсот четыре рубля 28 коп.)</w:t>
      </w:r>
    </w:p>
    <w:p>
      <w:pPr>
        <w:pStyle w:val="911"/>
        <w:spacing w:before="0" w:after="0"/>
        <w:ind w:firstLine="709" w:right="-19"/>
        <w:jc w:val="both"/>
        <w:rPr>
          <w:rStyle w:val="91"/>
          <w:i w:val="false"/>
          <w:i w:val="false"/>
          <w:iCs w:val="false"/>
          <w:sz w:val="28"/>
          <w:szCs w:val="28"/>
          <w:lang w:eastAsia="ru-RU"/>
        </w:rPr>
      </w:pPr>
      <w:r>
        <w:rPr>
          <w:i w:val="false"/>
          <w:iCs w:val="false"/>
          <w:sz w:val="28"/>
          <w:szCs w:val="28"/>
          <w:lang w:eastAsia="ru-RU"/>
        </w:rPr>
      </w:r>
    </w:p>
    <w:p>
      <w:pPr>
        <w:pStyle w:val="911"/>
        <w:spacing w:before="0" w:after="0"/>
        <w:ind w:firstLine="709" w:right="-19"/>
        <w:jc w:val="both"/>
        <w:rPr>
          <w:rStyle w:val="91"/>
          <w:b/>
          <w:bCs/>
          <w:i w:val="false"/>
          <w:i w:val="false"/>
          <w:iCs w:val="false"/>
          <w:sz w:val="28"/>
          <w:szCs w:val="28"/>
          <w:lang w:eastAsia="ru-RU"/>
        </w:rPr>
      </w:pPr>
      <w:r>
        <w:rPr>
          <w:rStyle w:val="91"/>
          <w:b/>
          <w:bCs/>
          <w:i w:val="false"/>
          <w:iCs w:val="false"/>
          <w:sz w:val="28"/>
          <w:szCs w:val="28"/>
          <w:lang w:eastAsia="ru-RU"/>
        </w:rPr>
        <w:t xml:space="preserve">Территория муниципального образования или его часть, в границах которой будет реализовываться инициативный проект: </w:t>
      </w:r>
    </w:p>
    <w:p>
      <w:pPr>
        <w:pStyle w:val="911"/>
        <w:spacing w:before="0" w:after="0"/>
        <w:ind w:firstLine="709" w:right="-19"/>
        <w:jc w:val="both"/>
        <w:rPr>
          <w:rStyle w:val="91"/>
          <w:bCs/>
          <w:i w:val="false"/>
          <w:i w:val="false"/>
          <w:iCs w:val="false"/>
          <w:sz w:val="28"/>
          <w:szCs w:val="28"/>
          <w:lang w:eastAsia="ru-RU"/>
        </w:rPr>
      </w:pPr>
      <w:r>
        <w:rPr>
          <w:rStyle w:val="91"/>
          <w:bCs/>
          <w:i w:val="false"/>
          <w:iCs w:val="false"/>
          <w:sz w:val="28"/>
          <w:szCs w:val="28"/>
          <w:lang w:eastAsia="ru-RU"/>
        </w:rPr>
        <w:t>Территория, прилегающая к многоквартирному дому по адресу: г.о. город Луганск, г. Луганск, кв. Солнечный, д. 7 (двор группы жилых домов квартала Солнечный).</w:t>
      </w:r>
    </w:p>
    <w:p>
      <w:pPr>
        <w:pStyle w:val="911"/>
        <w:spacing w:before="0" w:after="0"/>
        <w:ind w:firstLine="709" w:right="-19"/>
        <w:jc w:val="both"/>
        <w:rPr>
          <w:b/>
          <w:bCs/>
          <w:sz w:val="28"/>
          <w:szCs w:val="28"/>
          <w:lang w:eastAsia="ru-RU"/>
        </w:rPr>
      </w:pPr>
      <w:r>
        <w:rPr>
          <w:rStyle w:val="91"/>
          <w:i w:val="false"/>
          <w:iCs w:val="false"/>
          <w:sz w:val="28"/>
          <w:szCs w:val="28"/>
          <w:lang w:eastAsia="ru-RU"/>
        </w:rPr>
        <w:t>Основания для отказа в поддержке инициативного проекта «Солнечному кварталу — чистоту и порядок» предусмотренным пунктом 19 Положения о порядке выдвижения, внесения, обсуждения, рассмотрения инициативных проектов, а также проведения их конкурсного отбора, утвержденного решением Совета городского округа муниципальное образование городской округ город Луганск Луганской Народной Республики от 4 сентября 2025 г. № 1-41/1 отсутствуют.</w:t>
      </w:r>
    </w:p>
    <w:p>
      <w:pPr>
        <w:pStyle w:val="911"/>
        <w:spacing w:before="0" w:after="0"/>
        <w:ind w:firstLine="709" w:right="-19"/>
        <w:jc w:val="both"/>
        <w:rPr>
          <w:rStyle w:val="91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Жители муниципального образования городского округа город Луганск Луганской Народной Республики, достигшие восемнадцатилетнего возраста, свои замечания и предложения к инициативному проекту вправе направлять в срок с 8 сентября 2025 г. с 9-30 по 12 сентября 2025 г. до 16-00 по адресу: г.о. город Луганск, г. Луганск, ул. Коцюбинского, д. 14 </w:t>
      </w:r>
      <w:r>
        <w:rPr>
          <w:szCs w:val="28"/>
        </w:rPr>
        <w:t>в рабочие дни с 9-30 до 16-00 (перерыв с 13-00 до 14-00),</w:t>
      </w:r>
      <w:r>
        <w:rPr>
          <w:rFonts w:eastAsia="Times New Roman"/>
          <w:lang w:eastAsia="uk-UA"/>
        </w:rPr>
        <w:t xml:space="preserve"> </w:t>
      </w:r>
      <w:r>
        <w:rPr>
          <w:szCs w:val="28"/>
        </w:rPr>
        <w:t xml:space="preserve">а также по адресу электронной почты:                 </w:t>
      </w:r>
      <w:r>
        <w:rPr>
          <w:rFonts w:eastAsia="Times New Roman"/>
          <w:lang w:val="en-US" w:eastAsia="uk-UA"/>
        </w:rPr>
        <w:t>e</w:t>
      </w:r>
      <w:r>
        <w:rPr>
          <w:rFonts w:eastAsia="Times New Roman"/>
          <w:lang w:eastAsia="uk-UA"/>
        </w:rPr>
        <w:t>-</w:t>
      </w:r>
      <w:r>
        <w:rPr>
          <w:rFonts w:eastAsia="Times New Roman"/>
          <w:lang w:val="en-US" w:eastAsia="uk-UA"/>
        </w:rPr>
        <w:t>mail</w:t>
      </w:r>
      <w:r>
        <w:rPr>
          <w:rFonts w:eastAsia="Times New Roman"/>
          <w:lang w:eastAsia="uk-UA"/>
        </w:rPr>
        <w:t xml:space="preserve">: </w:t>
      </w:r>
      <w:r>
        <w:rPr>
          <w:rFonts w:eastAsia="Times New Roman"/>
          <w:lang w:val="en-US" w:eastAsia="uk-UA"/>
        </w:rPr>
        <w:t>lgs</w:t>
      </w:r>
      <w:r>
        <w:rPr>
          <w:rFonts w:eastAsia="Times New Roman"/>
          <w:lang w:eastAsia="uk-UA"/>
        </w:rPr>
        <w:t>_</w:t>
      </w:r>
      <w:r>
        <w:rPr>
          <w:rFonts w:eastAsia="Times New Roman"/>
          <w:lang w:val="en-US" w:eastAsia="uk-UA"/>
        </w:rPr>
        <w:t>economy</w:t>
      </w:r>
      <w:r>
        <w:rPr>
          <w:rFonts w:eastAsia="Times New Roman"/>
          <w:lang w:eastAsia="uk-UA"/>
        </w:rPr>
        <w:t>@gorod-lugansk.ru.</w:t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Ознакомиться с инициативным проектом </w:t>
      </w:r>
      <w:r>
        <w:rPr>
          <w:rFonts w:eastAsia="Times New Roman"/>
          <w:color w:val="000000"/>
          <w:szCs w:val="28"/>
          <w:lang w:eastAsia="uk-UA"/>
        </w:rPr>
        <w:t>«Мы за чистый город» можно перейдя по ссылке</w:t>
      </w:r>
      <w:r>
        <w:rPr>
          <w:rFonts w:eastAsia="Times New Roman"/>
          <w:lang w:eastAsia="uk-UA"/>
        </w:rPr>
        <w:t xml:space="preserve">: </w:t>
      </w:r>
      <w:hyperlink r:id="rId2" w:tgtFrame="_blank">
        <w:r>
          <w:rPr>
            <w:rStyle w:val="Hyperlink"/>
            <w:rFonts w:eastAsia="Times New Roman"/>
            <w:u w:val="single"/>
            <w:shd w:fill="FFFFFF" w:val="clear"/>
            <w:lang w:eastAsia="uk-UA"/>
          </w:rPr>
          <w:t>https://gorod-lugansk.ru/ip-solnechnij.html</w:t>
        </w:r>
      </w:hyperlink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widowControl w:val="false"/>
        <w:tabs>
          <w:tab w:val="clear" w:pos="708"/>
          <w:tab w:val="center" w:pos="709" w:leader="none"/>
          <w:tab w:val="right" w:pos="8306" w:leader="none"/>
        </w:tabs>
        <w:ind w:firstLine="709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Calibr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9d2edd"/>
    <w:rPr>
      <w:color w:val="0563C1"/>
      <w:u w:val="single"/>
    </w:rPr>
  </w:style>
  <w:style w:type="character" w:styleId="header-title" w:customStyle="1">
    <w:name w:val="header-title"/>
    <w:basedOn w:val="DefaultParagraphFont"/>
    <w:qFormat/>
    <w:rsid w:val="009d2edd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44d5d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9" w:customStyle="1">
    <w:name w:val="Основной текст (9)_"/>
    <w:basedOn w:val="DefaultParagraphFont"/>
    <w:qFormat/>
    <w:rPr>
      <w:rFonts w:ascii="Times New Roman" w:hAnsi="Times New Roman" w:cs="Times New Roman"/>
      <w:i/>
      <w:iCs/>
      <w:color w:val="000000"/>
      <w:sz w:val="26"/>
      <w:szCs w:val="26"/>
      <w:u w:val="none"/>
    </w:rPr>
  </w:style>
  <w:style w:type="character" w:styleId="91" w:customStyle="1">
    <w:name w:val="Основной текст (9)"/>
    <w:basedOn w:val="9"/>
    <w:qFormat/>
    <w:rPr>
      <w:rFonts w:ascii="Times New Roman" w:hAnsi="Times New Roman" w:cs="Times New Roman"/>
      <w:i/>
      <w:iCs/>
      <w:color w:val="000000"/>
      <w:sz w:val="26"/>
      <w:szCs w:val="26"/>
      <w:u w:val="none"/>
    </w:rPr>
  </w:style>
  <w:style w:type="character" w:styleId="7" w:customStyle="1">
    <w:name w:val="Основной текст (7)_"/>
    <w:basedOn w:val="DefaultParagraphFont"/>
    <w:qFormat/>
    <w:rPr>
      <w:rFonts w:ascii="Times New Roman" w:hAnsi="Times New Roman" w:cs="Times New Roman"/>
      <w:i/>
      <w:iCs/>
      <w:color w:val="000000"/>
      <w:sz w:val="26"/>
      <w:szCs w:val="26"/>
      <w:u w:val="none"/>
    </w:rPr>
  </w:style>
  <w:style w:type="character" w:styleId="71" w:customStyle="1">
    <w:name w:val="Основной текст (7)"/>
    <w:basedOn w:val="7"/>
    <w:qFormat/>
    <w:rPr>
      <w:rFonts w:ascii="Times New Roman" w:hAnsi="Times New Roman" w:cs="Times New Roman"/>
      <w:i/>
      <w:iCs/>
      <w:color w:val="000000"/>
      <w:sz w:val="26"/>
      <w:szCs w:val="26"/>
      <w:u w:val="none"/>
    </w:rPr>
  </w:style>
  <w:style w:type="character" w:styleId="6" w:customStyle="1">
    <w:name w:val="Основной текст (6)_"/>
    <w:basedOn w:val="DefaultParagraphFont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61" w:customStyle="1">
    <w:name w:val="Основной текст (6)"/>
    <w:basedOn w:val="6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2" w:customStyle="1">
    <w:name w:val="Заголовок №2_"/>
    <w:basedOn w:val="DefaultParagraphFont"/>
    <w:qFormat/>
    <w:rPr>
      <w:rFonts w:ascii="Times New Roman" w:hAnsi="Times New Roman" w:cs="Times New Roman"/>
      <w:b/>
      <w:bCs/>
      <w:color w:val="000000"/>
      <w:sz w:val="26"/>
      <w:szCs w:val="26"/>
      <w:u w:val="none"/>
    </w:rPr>
  </w:style>
  <w:style w:type="character" w:styleId="21" w:customStyle="1">
    <w:name w:val="Заголовок №2"/>
    <w:basedOn w:val="2"/>
    <w:qFormat/>
    <w:rPr>
      <w:rFonts w:ascii="Times New Roman" w:hAnsi="Times New Roman" w:cs="Times New Roman"/>
      <w:b/>
      <w:bCs/>
      <w:color w:val="000000"/>
      <w:sz w:val="26"/>
      <w:szCs w:val="26"/>
      <w:u w:val="none"/>
    </w:rPr>
  </w:style>
  <w:style w:type="character" w:styleId="8" w:customStyle="1">
    <w:name w:val="Основной текст (8)_"/>
    <w:basedOn w:val="DefaultParagraphFont"/>
    <w:qFormat/>
    <w:rPr>
      <w:rFonts w:ascii="Times New Roman" w:hAnsi="Times New Roman" w:cs="Times New Roman"/>
      <w:b/>
      <w:bCs/>
      <w:color w:val="000000"/>
      <w:sz w:val="26"/>
      <w:szCs w:val="26"/>
      <w:u w:val="none"/>
    </w:rPr>
  </w:style>
  <w:style w:type="character" w:styleId="81" w:customStyle="1">
    <w:name w:val="Основной текст (8) + Не полужирный;Курсив"/>
    <w:basedOn w:val="8"/>
    <w:qFormat/>
    <w:rPr>
      <w:rFonts w:ascii="Times New Roman" w:hAnsi="Times New Roman" w:cs="Times New Roman"/>
      <w:b w:val="false"/>
      <w:bCs w:val="false"/>
      <w:i/>
      <w:iCs/>
      <w:color w:val="000000"/>
      <w:sz w:val="26"/>
      <w:szCs w:val="26"/>
      <w:u w:val="non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911" w:customStyle="1">
    <w:name w:val="Основной текст (9)1"/>
    <w:basedOn w:val="Normal"/>
    <w:qFormat/>
    <w:pPr>
      <w:shd w:val="clear" w:color="auto" w:fill="FFFFFF"/>
      <w:spacing w:lineRule="exact" w:line="317" w:before="0" w:after="180"/>
      <w:ind w:hanging="280"/>
    </w:pPr>
    <w:rPr>
      <w:rFonts w:cs="Times New Roman"/>
      <w:i/>
      <w:iCs/>
      <w:sz w:val="26"/>
      <w:szCs w:val="26"/>
    </w:rPr>
  </w:style>
  <w:style w:type="paragraph" w:styleId="611" w:customStyle="1">
    <w:name w:val="Основной текст (6)1"/>
    <w:basedOn w:val="Normal"/>
    <w:qFormat/>
    <w:pPr>
      <w:shd w:val="clear" w:color="auto" w:fill="FFFFFF"/>
      <w:spacing w:lineRule="exact" w:line="312" w:before="480" w:after="120"/>
      <w:ind w:hanging="460"/>
      <w:jc w:val="both"/>
    </w:pPr>
    <w:rPr>
      <w:rFonts w:cs="Times New Roman"/>
      <w:sz w:val="26"/>
      <w:szCs w:val="26"/>
    </w:rPr>
  </w:style>
  <w:style w:type="paragraph" w:styleId="711" w:customStyle="1">
    <w:name w:val="Основной текст (7)1"/>
    <w:basedOn w:val="Normal"/>
    <w:qFormat/>
    <w:pPr>
      <w:shd w:val="clear" w:color="auto" w:fill="FFFFFF"/>
      <w:spacing w:lineRule="atLeast" w:line="240" w:before="120" w:after="120"/>
      <w:jc w:val="both"/>
    </w:pPr>
    <w:rPr>
      <w:rFonts w:cs="Times New Roman"/>
      <w:i/>
      <w:iCs/>
      <w:sz w:val="26"/>
      <w:szCs w:val="26"/>
    </w:rPr>
  </w:style>
  <w:style w:type="paragraph" w:styleId="211" w:customStyle="1">
    <w:name w:val="Заголовок №21"/>
    <w:basedOn w:val="Normal"/>
    <w:qFormat/>
    <w:pPr>
      <w:shd w:val="clear" w:color="auto" w:fill="FFFFFF"/>
      <w:spacing w:lineRule="exact" w:line="326" w:before="480" w:after="120"/>
      <w:ind w:hanging="720"/>
      <w:outlineLvl w:val="1"/>
    </w:pPr>
    <w:rPr>
      <w:rFonts w:cs="Times New Roman"/>
      <w:b/>
      <w:bCs/>
      <w:sz w:val="26"/>
      <w:szCs w:val="26"/>
    </w:rPr>
  </w:style>
  <w:style w:type="paragraph" w:styleId="BodyTextIndent">
    <w:name w:val="Body Text Indent"/>
    <w:basedOn w:val="Normal"/>
    <w:qFormat/>
    <w:pPr>
      <w:ind w:firstLine="709"/>
      <w:jc w:val="both"/>
    </w:pPr>
    <w:rPr>
      <w:rFonts w:ascii="PT Astra Serif" w:hAnsi="PT Astra Serif" w:cs="Lohit Devanagari"/>
      <w:kern w:val="2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orod-lugansk.ru/ip-solnechnij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B074E-2977-444E-B89E-689D65FE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LibreOffice/24.8.4.2$Linux_X86_64 LibreOffice_project/480$Build-2</Application>
  <AppVersion>15.0000</AppVersion>
  <Pages>3</Pages>
  <Words>774</Words>
  <Characters>5699</Characters>
  <CharactersWithSpaces>6512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2025-09-08T12:33:00Z</dcterms:created>
  <dc:creator>Кожемякіна Ірина Ігорівна</dc:creator>
  <dc:description/>
  <dc:language>ru-RU</dc:language>
  <cp:lastModifiedBy/>
  <cp:lastPrinted>2025-09-11T15:05:00Z</cp:lastPrinted>
  <dcterms:modified xsi:type="dcterms:W3CDTF">2025-09-12T10:05:04Z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